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DC687" w14:textId="09419058" w:rsidR="00620629" w:rsidRDefault="00620629" w:rsidP="0042568F">
      <w:pPr>
        <w:jc w:val="center"/>
        <w:rPr>
          <w:rFonts w:asciiTheme="minorBidi" w:hAnsiTheme="minorBidi" w:cstheme="minorBidi" w:hint="cs"/>
          <w:b/>
          <w:bCs/>
          <w:sz w:val="36"/>
          <w:szCs w:val="36"/>
          <w:rtl/>
          <w:lang w:val="en-US" w:bidi="ar-BH"/>
        </w:rPr>
      </w:pPr>
    </w:p>
    <w:p w14:paraId="334B2CDA" w14:textId="77777777" w:rsidR="0042568F" w:rsidRPr="0042568F" w:rsidRDefault="0042568F" w:rsidP="0042568F">
      <w:pPr>
        <w:jc w:val="center"/>
        <w:rPr>
          <w:rFonts w:asciiTheme="minorBidi" w:hAnsiTheme="minorBidi" w:cstheme="minorBidi"/>
          <w:b/>
          <w:bCs/>
          <w:sz w:val="40"/>
          <w:szCs w:val="40"/>
          <w:lang w:val="en-US"/>
        </w:rPr>
      </w:pPr>
    </w:p>
    <w:p w14:paraId="38479DD4" w14:textId="38EA17FC" w:rsidR="0042568F" w:rsidRPr="0042568F" w:rsidRDefault="0042568F" w:rsidP="0042568F">
      <w:pPr>
        <w:pBdr>
          <w:top w:val="nil"/>
          <w:left w:val="nil"/>
          <w:bottom w:val="nil"/>
          <w:right w:val="nil"/>
          <w:between w:val="nil"/>
          <w:bar w:val="nil"/>
        </w:pBdr>
        <w:jc w:val="center"/>
        <w:rPr>
          <w:rFonts w:asciiTheme="minorBidi" w:eastAsia="Calibri" w:hAnsiTheme="minorBidi" w:cstheme="minorBidi"/>
          <w:b/>
          <w:bCs/>
          <w:color w:val="000000"/>
          <w:sz w:val="32"/>
          <w:szCs w:val="32"/>
          <w:u w:color="000000"/>
          <w:bdr w:val="nil"/>
          <w:rtl/>
          <w:lang w:eastAsia="en-US" w:bidi="ar-EG"/>
        </w:rPr>
      </w:pPr>
      <w:r w:rsidRPr="0042568F">
        <w:rPr>
          <w:rFonts w:asciiTheme="minorBidi" w:eastAsia="Calibri" w:hAnsiTheme="minorBidi" w:cstheme="minorBidi"/>
          <w:b/>
          <w:bCs/>
          <w:color w:val="000000"/>
          <w:sz w:val="32"/>
          <w:szCs w:val="32"/>
          <w:u w:color="000000"/>
          <w:bdr w:val="nil"/>
          <w:rtl/>
          <w:lang w:eastAsia="en-US" w:bidi="ar-EG"/>
        </w:rPr>
        <w:t>جي إف إتش تستحوذ على محفظة العيادات الطبية الثانية بالولايات المتحدة</w:t>
      </w:r>
    </w:p>
    <w:p w14:paraId="2E7E9B58" w14:textId="671F0CED" w:rsidR="0042568F" w:rsidRPr="0042568F" w:rsidRDefault="0042568F" w:rsidP="0042568F">
      <w:pPr>
        <w:pBdr>
          <w:top w:val="nil"/>
          <w:left w:val="nil"/>
          <w:bottom w:val="nil"/>
          <w:right w:val="nil"/>
          <w:between w:val="nil"/>
          <w:bar w:val="nil"/>
        </w:pBdr>
        <w:jc w:val="center"/>
        <w:rPr>
          <w:rFonts w:asciiTheme="minorBidi" w:eastAsia="Calibri" w:hAnsiTheme="minorBidi" w:cstheme="minorBidi"/>
          <w:b/>
          <w:bCs/>
          <w:color w:val="000000"/>
          <w:sz w:val="32"/>
          <w:szCs w:val="32"/>
          <w:u w:color="000000"/>
          <w:bdr w:val="nil"/>
          <w:lang w:eastAsia="en-US" w:bidi="ar-EG"/>
        </w:rPr>
      </w:pPr>
      <w:r w:rsidRPr="0042568F">
        <w:rPr>
          <w:rFonts w:asciiTheme="minorBidi" w:eastAsia="Calibri" w:hAnsiTheme="minorBidi" w:cstheme="minorBidi"/>
          <w:b/>
          <w:bCs/>
          <w:color w:val="000000"/>
          <w:sz w:val="32"/>
          <w:szCs w:val="32"/>
          <w:u w:color="000000"/>
          <w:bdr w:val="nil"/>
          <w:rtl/>
          <w:lang w:eastAsia="en-US" w:bidi="ar-EG"/>
        </w:rPr>
        <w:t>بقيمة 400 مليون دولار أمريكي</w:t>
      </w:r>
    </w:p>
    <w:p w14:paraId="2D3FD12A" w14:textId="77777777" w:rsidR="0042568F" w:rsidRPr="0042568F" w:rsidRDefault="0042568F" w:rsidP="0042568F">
      <w:pPr>
        <w:pBdr>
          <w:top w:val="nil"/>
          <w:left w:val="nil"/>
          <w:bottom w:val="nil"/>
          <w:right w:val="nil"/>
          <w:between w:val="nil"/>
          <w:bar w:val="nil"/>
        </w:pBdr>
        <w:jc w:val="center"/>
        <w:rPr>
          <w:rFonts w:asciiTheme="minorBidi" w:eastAsia="Calibri" w:hAnsiTheme="minorBidi" w:cstheme="minorBidi"/>
          <w:b/>
          <w:bCs/>
          <w:color w:val="000000"/>
          <w:sz w:val="28"/>
          <w:szCs w:val="28"/>
          <w:u w:color="000000"/>
          <w:bdr w:val="nil"/>
          <w:rtl/>
          <w:lang w:eastAsia="en-US" w:bidi="ar-EG"/>
        </w:rPr>
      </w:pPr>
    </w:p>
    <w:p w14:paraId="4A1A43D4" w14:textId="07A6F671"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eastAsia="en-US" w:bidi="ar-EG"/>
        </w:rPr>
      </w:pPr>
      <w:r w:rsidRPr="0042568F">
        <w:rPr>
          <w:rFonts w:asciiTheme="minorBidi" w:eastAsia="Calibri" w:hAnsiTheme="minorBidi" w:cstheme="minorBidi"/>
          <w:b/>
          <w:bCs/>
          <w:color w:val="000000"/>
          <w:sz w:val="28"/>
          <w:szCs w:val="28"/>
          <w:u w:color="000000"/>
          <w:bdr w:val="nil"/>
          <w:rtl/>
          <w:lang w:eastAsia="en-US" w:bidi="ar-EG"/>
        </w:rPr>
        <w:t>المنامة - 11 أكتوبر 2022:</w:t>
      </w:r>
      <w:r w:rsidRPr="0042568F">
        <w:rPr>
          <w:rFonts w:asciiTheme="minorBidi" w:eastAsia="Calibri" w:hAnsiTheme="minorBidi" w:cstheme="minorBidi"/>
          <w:color w:val="000000"/>
          <w:sz w:val="28"/>
          <w:szCs w:val="28"/>
          <w:u w:color="000000"/>
          <w:bdr w:val="nil"/>
          <w:rtl/>
          <w:lang w:eastAsia="en-US" w:bidi="ar-EG"/>
        </w:rPr>
        <w:t xml:space="preserve"> أعلنت مجموعة جي إف إتش المالية ("جي إف إتش أو المجموعة") اليوم عن التوسع في خوضها قطاع المكاتب الطبية/العيادات من خلال محفظة عيادات طبية تعد الثانية لها بالولايات المتحدة الأمريكية في إطار معاملة تبلغ قيمتها حوالي 400 مليون دولار أمريكي. تتكون المحفظة المدرة للدخل من 11 أصلا من الأصول المتنوعة جغرافيا والمنتشرة عبر أربع ولايات أمريكية، هي كاليفورنيا، تكساس، ماريلاند ولويزيانا.</w:t>
      </w:r>
    </w:p>
    <w:p w14:paraId="2B490300" w14:textId="77777777"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val="en-US" w:eastAsia="en-US"/>
        </w:rPr>
      </w:pPr>
    </w:p>
    <w:p w14:paraId="6CA8F314" w14:textId="2B04E873"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eastAsia="en-US" w:bidi="ar-EG"/>
        </w:rPr>
      </w:pPr>
      <w:r w:rsidRPr="0042568F">
        <w:rPr>
          <w:rFonts w:asciiTheme="minorBidi" w:eastAsia="Calibri" w:hAnsiTheme="minorBidi" w:cstheme="minorBidi"/>
          <w:color w:val="000000"/>
          <w:sz w:val="28"/>
          <w:szCs w:val="28"/>
          <w:u w:color="000000"/>
          <w:bdr w:val="nil"/>
          <w:rtl/>
          <w:lang w:eastAsia="en-US" w:bidi="ar-EG"/>
        </w:rPr>
        <w:t xml:space="preserve">تغطي المحفظة مساحة تزيد على مليون قدم مربع، ويشغلها كبار المستأجرين ذوي الجدارة الائتمانية الحائزين على درجة استثمارية، ومن بينهم "بايلور سكوت آند وايت (موديز </w:t>
      </w:r>
      <w:r w:rsidRPr="0042568F">
        <w:rPr>
          <w:rFonts w:asciiTheme="minorBidi" w:eastAsia="Calibri" w:hAnsiTheme="minorBidi" w:cstheme="minorBidi"/>
          <w:color w:val="000000"/>
          <w:sz w:val="28"/>
          <w:szCs w:val="28"/>
          <w:u w:color="000000"/>
          <w:bdr w:val="nil"/>
          <w:lang w:val="en-US" w:eastAsia="en-US"/>
        </w:rPr>
        <w:t>Aa3</w:t>
      </w:r>
      <w:r w:rsidRPr="0042568F">
        <w:rPr>
          <w:rFonts w:asciiTheme="minorBidi" w:eastAsia="Calibri" w:hAnsiTheme="minorBidi" w:cstheme="minorBidi"/>
          <w:color w:val="000000"/>
          <w:sz w:val="28"/>
          <w:szCs w:val="28"/>
          <w:u w:color="000000"/>
          <w:bdr w:val="nil"/>
          <w:rtl/>
          <w:lang w:eastAsia="en-US" w:bidi="ar-EG"/>
        </w:rPr>
        <w:t xml:space="preserve">)"، "مركز العلوم الصحية لجامعة تكساس إيه آند إم (فيتش: </w:t>
      </w:r>
      <w:r w:rsidRPr="0042568F">
        <w:rPr>
          <w:rFonts w:asciiTheme="minorBidi" w:eastAsia="Calibri" w:hAnsiTheme="minorBidi" w:cstheme="minorBidi"/>
          <w:color w:val="000000"/>
          <w:sz w:val="28"/>
          <w:szCs w:val="28"/>
          <w:u w:color="000000"/>
          <w:bdr w:val="nil"/>
          <w:lang w:val="en-US" w:eastAsia="en-US"/>
        </w:rPr>
        <w:t>AAA</w:t>
      </w:r>
      <w:r w:rsidRPr="0042568F">
        <w:rPr>
          <w:rFonts w:asciiTheme="minorBidi" w:eastAsia="Calibri" w:hAnsiTheme="minorBidi" w:cstheme="minorBidi"/>
          <w:color w:val="000000"/>
          <w:sz w:val="28"/>
          <w:szCs w:val="28"/>
          <w:u w:color="000000"/>
          <w:bdr w:val="nil"/>
          <w:rtl/>
          <w:lang w:eastAsia="en-US" w:bidi="ar-EG"/>
        </w:rPr>
        <w:t xml:space="preserve">)"، "جامعة تكساس للتكنولوجيا (فيتش: </w:t>
      </w:r>
      <w:r w:rsidRPr="0042568F">
        <w:rPr>
          <w:rFonts w:asciiTheme="minorBidi" w:eastAsia="Calibri" w:hAnsiTheme="minorBidi" w:cstheme="minorBidi"/>
          <w:color w:val="000000"/>
          <w:sz w:val="28"/>
          <w:szCs w:val="28"/>
          <w:u w:color="000000"/>
          <w:bdr w:val="nil"/>
          <w:lang w:val="en-US" w:eastAsia="en-US"/>
        </w:rPr>
        <w:t>AA+</w:t>
      </w:r>
      <w:r w:rsidRPr="0042568F">
        <w:rPr>
          <w:rFonts w:asciiTheme="minorBidi" w:eastAsia="Calibri" w:hAnsiTheme="minorBidi" w:cstheme="minorBidi"/>
          <w:color w:val="000000"/>
          <w:sz w:val="28"/>
          <w:szCs w:val="28"/>
          <w:u w:color="000000"/>
          <w:bdr w:val="nil"/>
          <w:rtl/>
          <w:lang w:eastAsia="en-US" w:bidi="ar-EG"/>
        </w:rPr>
        <w:t xml:space="preserve">)"، "ميموريال هيرمان (إس آند بي: </w:t>
      </w:r>
      <w:r w:rsidRPr="0042568F">
        <w:rPr>
          <w:rFonts w:asciiTheme="minorBidi" w:eastAsia="Calibri" w:hAnsiTheme="minorBidi" w:cstheme="minorBidi"/>
          <w:color w:val="000000"/>
          <w:sz w:val="28"/>
          <w:szCs w:val="28"/>
          <w:u w:color="000000"/>
          <w:bdr w:val="nil"/>
          <w:lang w:val="en-US" w:eastAsia="en-US"/>
        </w:rPr>
        <w:t>A+</w:t>
      </w:r>
      <w:r w:rsidRPr="0042568F">
        <w:rPr>
          <w:rFonts w:asciiTheme="minorBidi" w:eastAsia="Calibri" w:hAnsiTheme="minorBidi" w:cstheme="minorBidi"/>
          <w:color w:val="000000"/>
          <w:sz w:val="28"/>
          <w:szCs w:val="28"/>
          <w:u w:color="000000"/>
          <w:bdr w:val="nil"/>
          <w:rtl/>
          <w:lang w:eastAsia="en-US" w:bidi="ar-EG"/>
        </w:rPr>
        <w:t xml:space="preserve">)" و"تيدال هيلث (موديز: </w:t>
      </w:r>
      <w:r w:rsidRPr="0042568F">
        <w:rPr>
          <w:rFonts w:asciiTheme="minorBidi" w:eastAsia="Calibri" w:hAnsiTheme="minorBidi" w:cstheme="minorBidi"/>
          <w:color w:val="000000"/>
          <w:sz w:val="28"/>
          <w:szCs w:val="28"/>
          <w:u w:color="000000"/>
          <w:bdr w:val="nil"/>
          <w:lang w:val="en-US" w:eastAsia="en-US"/>
        </w:rPr>
        <w:t>Aa3</w:t>
      </w:r>
      <w:r w:rsidRPr="0042568F">
        <w:rPr>
          <w:rFonts w:asciiTheme="minorBidi" w:eastAsia="Calibri" w:hAnsiTheme="minorBidi" w:cstheme="minorBidi"/>
          <w:color w:val="000000"/>
          <w:sz w:val="28"/>
          <w:szCs w:val="28"/>
          <w:u w:color="000000"/>
          <w:bdr w:val="nil"/>
          <w:rtl/>
          <w:lang w:eastAsia="en-US" w:bidi="ar-EG"/>
        </w:rPr>
        <w:t xml:space="preserve">)". تقدم الأصول أيضا تخصصات فريدة داخل الأسواق الفرعية الخاصة بكل منها، مما يؤهلها لتحقيق معدلات إشغال عالية ونمو في الإيجارات. </w:t>
      </w:r>
    </w:p>
    <w:p w14:paraId="76564842" w14:textId="77777777"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rtl/>
          <w:lang w:eastAsia="en-US" w:bidi="ar-EG"/>
        </w:rPr>
      </w:pPr>
    </w:p>
    <w:p w14:paraId="28824904" w14:textId="044815C6"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eastAsia="en-US" w:bidi="ar-EG"/>
        </w:rPr>
      </w:pPr>
      <w:r w:rsidRPr="0042568F">
        <w:rPr>
          <w:rFonts w:asciiTheme="minorBidi" w:eastAsia="Calibri" w:hAnsiTheme="minorBidi" w:cstheme="minorBidi"/>
          <w:color w:val="000000"/>
          <w:sz w:val="28"/>
          <w:szCs w:val="28"/>
          <w:u w:color="000000"/>
          <w:bdr w:val="nil"/>
          <w:rtl/>
          <w:lang w:eastAsia="en-US" w:bidi="ar-EG"/>
        </w:rPr>
        <w:t xml:space="preserve">من العوامل الرئيسية الداعمة للاستثمار، الأداء القوي الذي أظهره قطاع العيادات الطبية والذي أثبت أنه يتمتع بدرجة عالية من المرونة في مواجهة التراجع الاقتصادي، حيث بلغت نسبة تحصيل الإيجارات 99% خلال جائحة كوفيد -19. بالإضافة إلى ذلك، فقد عكست معدلات إشغال العيادات الطبية الطلب القوي على هذا القطاع خلال النصف الأول من عام 2022 وفقا إلى </w:t>
      </w:r>
      <w:r w:rsidRPr="0042568F">
        <w:rPr>
          <w:rFonts w:asciiTheme="minorBidi" w:eastAsia="Calibri" w:hAnsiTheme="minorBidi" w:cstheme="minorBidi"/>
          <w:color w:val="000000"/>
          <w:sz w:val="28"/>
          <w:szCs w:val="28"/>
          <w:u w:color="000000"/>
          <w:bdr w:val="nil"/>
          <w:lang w:val="en-US" w:eastAsia="en-US"/>
        </w:rPr>
        <w:t>“Colliers”</w:t>
      </w:r>
      <w:r w:rsidRPr="0042568F">
        <w:rPr>
          <w:rFonts w:asciiTheme="minorBidi" w:eastAsia="Calibri" w:hAnsiTheme="minorBidi" w:cstheme="minorBidi"/>
          <w:color w:val="000000"/>
          <w:sz w:val="28"/>
          <w:szCs w:val="28"/>
          <w:u w:color="000000"/>
          <w:bdr w:val="nil"/>
          <w:rtl/>
          <w:lang w:eastAsia="en-US" w:bidi="ar-EG"/>
        </w:rPr>
        <w:t xml:space="preserve"> التي أعادت تأكيد مرونة هذا القطاع. كما يواصل القطاع الاستفادة من النمو السكاني وارتفاع أعداد المسنين بالولايات المتحدة الأمريكية وما ترتب على ذلك من زيادة مطردة في نفقات الرعاية الصحية، والتي شكلت 19% من إجمالي الناتج المحلي للولايات المتحدة في عام 2021، فضلا عن الزيادة المستمرة في الطلب على خدمات المرضى الخارجيين التي تقدم في قطاع العيادات الطبية.</w:t>
      </w:r>
    </w:p>
    <w:p w14:paraId="5C77F46A" w14:textId="77777777"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rtl/>
          <w:lang w:eastAsia="en-US" w:bidi="ar-EG"/>
        </w:rPr>
      </w:pPr>
    </w:p>
    <w:p w14:paraId="71EF7805" w14:textId="1F31E98B"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eastAsia="en-US" w:bidi="ar-EG"/>
        </w:rPr>
      </w:pPr>
      <w:r w:rsidRPr="0042568F">
        <w:rPr>
          <w:rFonts w:asciiTheme="minorBidi" w:eastAsia="Calibri" w:hAnsiTheme="minorBidi" w:cstheme="minorBidi"/>
          <w:color w:val="000000"/>
          <w:sz w:val="28"/>
          <w:szCs w:val="28"/>
          <w:u w:color="000000"/>
          <w:bdr w:val="nil"/>
          <w:rtl/>
          <w:lang w:eastAsia="en-US" w:bidi="ar-EG"/>
        </w:rPr>
        <w:t>يعتمد هذا الاستثمار على الشراكة مع "بيج سكاي ميديكال"، المنصة المعروفة المتمرسة في إدارة الأصول والتي تركز على الأصول الطبية، مع سجل حافل في مجال استحواذ وإدارة عقارات الرعاية الصحية. استثمر مسئولو بيج سكاي في حوالي 6 مليون قدم مربع تضم حوالي 100 أصل طبي عبر 19 ولاية، مع محفظة حالية بقيمة إجمالية 2 مليار دولار أمريكي. تقوم جي إف إتش بمواءمة مصالحها مع بيج سكاي ميديكال حيث تولي كلتا الشركتين اهتماما كبيرا بالاستثمار وتجميع الأصول في القطاع الطبي الذي يشهد طلبا عاليا و</w:t>
      </w:r>
      <w:r w:rsidR="009D6391">
        <w:rPr>
          <w:rFonts w:asciiTheme="minorBidi" w:eastAsia="Calibri" w:hAnsiTheme="minorBidi" w:cstheme="minorBidi"/>
          <w:color w:val="000000"/>
          <w:sz w:val="28"/>
          <w:szCs w:val="28"/>
          <w:u w:color="000000"/>
          <w:bdr w:val="nil"/>
          <w:rtl/>
          <w:lang w:eastAsia="en-US" w:bidi="ar-EG"/>
        </w:rPr>
        <w:t>يقاوم التراجع. لقد أثمرت شراك</w:t>
      </w:r>
      <w:r w:rsidR="009D6391">
        <w:rPr>
          <w:rFonts w:asciiTheme="minorBidi" w:eastAsia="Calibri" w:hAnsiTheme="minorBidi" w:cstheme="minorBidi" w:hint="cs"/>
          <w:color w:val="000000"/>
          <w:sz w:val="28"/>
          <w:szCs w:val="28"/>
          <w:u w:color="000000"/>
          <w:bdr w:val="nil"/>
          <w:rtl/>
          <w:lang w:eastAsia="en-US" w:bidi="ar-EG"/>
        </w:rPr>
        <w:t>ة جي إف إتش</w:t>
      </w:r>
      <w:r w:rsidRPr="0042568F">
        <w:rPr>
          <w:rFonts w:asciiTheme="minorBidi" w:eastAsia="Calibri" w:hAnsiTheme="minorBidi" w:cstheme="minorBidi"/>
          <w:color w:val="000000"/>
          <w:sz w:val="28"/>
          <w:szCs w:val="28"/>
          <w:u w:color="000000"/>
          <w:bdr w:val="nil"/>
          <w:rtl/>
          <w:lang w:eastAsia="en-US" w:bidi="ar-EG"/>
        </w:rPr>
        <w:t xml:space="preserve"> مع بيج سكاي فعلياً عن عدد من الاستحواذات بلغت قيمتها حوالي 500 مليون دولار أمريكي خلال الأشهر الستة الماضية وحدها. وتعتبر هذه المعاملة الثالثة ضمن سلسلة من الاستحواذات المشتركة.</w:t>
      </w:r>
    </w:p>
    <w:p w14:paraId="2937F6F2" w14:textId="00E87C26"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rtl/>
          <w:lang w:eastAsia="en-US" w:bidi="ar-EG"/>
        </w:rPr>
      </w:pPr>
      <w:r w:rsidRPr="0042568F">
        <w:rPr>
          <w:rFonts w:asciiTheme="minorBidi" w:eastAsia="Calibri" w:hAnsiTheme="minorBidi" w:cstheme="minorBidi"/>
          <w:color w:val="000000"/>
          <w:sz w:val="28"/>
          <w:szCs w:val="28"/>
          <w:u w:color="000000"/>
          <w:bdr w:val="nil"/>
          <w:rtl/>
          <w:lang w:eastAsia="en-US" w:bidi="ar-EG"/>
        </w:rPr>
        <w:t xml:space="preserve"> </w:t>
      </w:r>
    </w:p>
    <w:p w14:paraId="6309693E" w14:textId="01FACB1E" w:rsidR="0042568F" w:rsidRPr="0042568F" w:rsidRDefault="0042568F" w:rsidP="009D6391">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eastAsia="en-US" w:bidi="ar-EG"/>
        </w:rPr>
      </w:pPr>
      <w:r w:rsidRPr="0042568F">
        <w:rPr>
          <w:rFonts w:asciiTheme="minorBidi" w:eastAsia="Calibri" w:hAnsiTheme="minorBidi" w:cstheme="minorBidi"/>
          <w:color w:val="000000"/>
          <w:sz w:val="28"/>
          <w:szCs w:val="28"/>
          <w:u w:color="000000"/>
          <w:bdr w:val="nil"/>
          <w:rtl/>
          <w:lang w:eastAsia="en-US" w:bidi="ar-EG"/>
        </w:rPr>
        <w:t xml:space="preserve">وقال </w:t>
      </w:r>
      <w:r w:rsidR="009D6391">
        <w:rPr>
          <w:rFonts w:asciiTheme="minorBidi" w:eastAsia="Calibri" w:hAnsiTheme="minorBidi" w:cstheme="minorBidi"/>
          <w:color w:val="000000"/>
          <w:sz w:val="28"/>
          <w:szCs w:val="28"/>
          <w:u w:color="000000"/>
          <w:bdr w:val="nil"/>
          <w:rtl/>
          <w:lang w:eastAsia="en-US"/>
        </w:rPr>
        <w:t>السيد نائل م</w:t>
      </w:r>
      <w:r w:rsidR="009D6391">
        <w:rPr>
          <w:rFonts w:asciiTheme="minorBidi" w:eastAsia="Calibri" w:hAnsiTheme="minorBidi" w:cstheme="minorBidi" w:hint="cs"/>
          <w:color w:val="000000"/>
          <w:sz w:val="28"/>
          <w:szCs w:val="28"/>
          <w:u w:color="000000"/>
          <w:bdr w:val="nil"/>
          <w:rtl/>
          <w:lang w:eastAsia="en-US"/>
        </w:rPr>
        <w:t>ص</w:t>
      </w:r>
      <w:r w:rsidR="009D6391">
        <w:rPr>
          <w:rFonts w:asciiTheme="minorBidi" w:eastAsia="Calibri" w:hAnsiTheme="minorBidi" w:cstheme="minorBidi"/>
          <w:color w:val="000000"/>
          <w:sz w:val="28"/>
          <w:szCs w:val="28"/>
          <w:u w:color="000000"/>
          <w:bdr w:val="nil"/>
          <w:rtl/>
          <w:lang w:eastAsia="en-US"/>
        </w:rPr>
        <w:t xml:space="preserve">طفى، رئيس مشارك </w:t>
      </w:r>
      <w:r w:rsidR="009D6391">
        <w:rPr>
          <w:rFonts w:asciiTheme="minorBidi" w:eastAsia="Calibri" w:hAnsiTheme="minorBidi" w:cstheme="minorBidi" w:hint="cs"/>
          <w:color w:val="000000"/>
          <w:sz w:val="28"/>
          <w:szCs w:val="28"/>
          <w:u w:color="000000"/>
          <w:bdr w:val="nil"/>
          <w:rtl/>
          <w:lang w:eastAsia="en-US"/>
        </w:rPr>
        <w:t>لإ</w:t>
      </w:r>
      <w:r w:rsidR="009D6391">
        <w:rPr>
          <w:rFonts w:asciiTheme="minorBidi" w:eastAsia="Calibri" w:hAnsiTheme="minorBidi" w:cstheme="minorBidi"/>
          <w:color w:val="000000"/>
          <w:sz w:val="28"/>
          <w:szCs w:val="28"/>
          <w:u w:color="000000"/>
          <w:bdr w:val="nil"/>
          <w:rtl/>
          <w:lang w:eastAsia="en-US"/>
        </w:rPr>
        <w:t>دارة ا</w:t>
      </w:r>
      <w:r w:rsidR="009D6391">
        <w:rPr>
          <w:rFonts w:asciiTheme="minorBidi" w:eastAsia="Calibri" w:hAnsiTheme="minorBidi" w:cstheme="minorBidi" w:hint="cs"/>
          <w:color w:val="000000"/>
          <w:sz w:val="28"/>
          <w:szCs w:val="28"/>
          <w:u w:color="000000"/>
          <w:bdr w:val="nil"/>
          <w:rtl/>
          <w:lang w:eastAsia="en-US"/>
        </w:rPr>
        <w:t>لإ</w:t>
      </w:r>
      <w:bookmarkStart w:id="0" w:name="_GoBack"/>
      <w:bookmarkEnd w:id="0"/>
      <w:r w:rsidR="009D6391" w:rsidRPr="009D6391">
        <w:rPr>
          <w:rFonts w:asciiTheme="minorBidi" w:eastAsia="Calibri" w:hAnsiTheme="minorBidi" w:cstheme="minorBidi"/>
          <w:color w:val="000000"/>
          <w:sz w:val="28"/>
          <w:szCs w:val="28"/>
          <w:u w:color="000000"/>
          <w:bdr w:val="nil"/>
          <w:rtl/>
          <w:lang w:eastAsia="en-US"/>
        </w:rPr>
        <w:t>ستثمار – العقارات في جي إف إتش</w:t>
      </w:r>
      <w:r w:rsidRPr="0042568F">
        <w:rPr>
          <w:rFonts w:asciiTheme="minorBidi" w:eastAsia="Calibri" w:hAnsiTheme="minorBidi" w:cstheme="minorBidi"/>
          <w:color w:val="000000"/>
          <w:sz w:val="28"/>
          <w:szCs w:val="28"/>
          <w:u w:color="000000"/>
          <w:bdr w:val="nil"/>
          <w:rtl/>
          <w:lang w:eastAsia="en-US" w:bidi="ar-EG"/>
        </w:rPr>
        <w:t xml:space="preserve">: "يسعدنا الإعلان عن الاستحواذ على هذه محفظة العيادات الطبية المتميزة والمدرة للدخل هذه في إطار التوسع المستمر لجي إف إتش في قطاع مباني المكاتب الطبية في المدن سريعة النمو في جميع أنحاء الولايات المتحدة. نحن </w:t>
      </w:r>
      <w:r w:rsidRPr="0042568F">
        <w:rPr>
          <w:rFonts w:asciiTheme="minorBidi" w:eastAsia="Calibri" w:hAnsiTheme="minorBidi" w:cstheme="minorBidi"/>
          <w:color w:val="000000"/>
          <w:sz w:val="28"/>
          <w:szCs w:val="28"/>
          <w:u w:color="000000"/>
          <w:bdr w:val="nil"/>
          <w:rtl/>
          <w:lang w:eastAsia="en-US" w:bidi="ar-EG"/>
        </w:rPr>
        <w:lastRenderedPageBreak/>
        <w:t>نؤمن بشدة بالأسس طويلة الأجل في قطاع الرعاية الصحية والديناميكيات التي تدعم زيادة الطلب على المكاتب الطبية عالية الجودة، ومن بينها زيادة عدد السكان المسنين والنمو في رعاية مرضى العيادات الخارجية التي تستمر في جعل القطاع شديد المرونة وغير متأثر بالدورات الاقتصادية. نتطلع إلى العمل مع شريكنا "بيج سكاي ميديكال" لتعظيم قيمة هذه الأصول".</w:t>
      </w:r>
    </w:p>
    <w:p w14:paraId="42EFEC1B" w14:textId="77777777" w:rsidR="0042568F" w:rsidRPr="0042568F" w:rsidRDefault="0042568F" w:rsidP="0042568F">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val="en-US" w:eastAsia="en-US"/>
        </w:rPr>
      </w:pPr>
    </w:p>
    <w:p w14:paraId="2A49761A" w14:textId="6687B2CF" w:rsidR="0044063F" w:rsidRPr="00BE0380" w:rsidRDefault="0042568F" w:rsidP="00BE0380">
      <w:pPr>
        <w:pBdr>
          <w:top w:val="nil"/>
          <w:left w:val="nil"/>
          <w:bottom w:val="nil"/>
          <w:right w:val="nil"/>
          <w:between w:val="nil"/>
          <w:bar w:val="nil"/>
        </w:pBdr>
        <w:jc w:val="right"/>
        <w:rPr>
          <w:rFonts w:asciiTheme="minorBidi" w:eastAsia="Calibri" w:hAnsiTheme="minorBidi" w:cstheme="minorBidi"/>
          <w:color w:val="000000"/>
          <w:sz w:val="28"/>
          <w:szCs w:val="28"/>
          <w:u w:color="000000"/>
          <w:bdr w:val="nil"/>
          <w:lang w:eastAsia="en-US" w:bidi="ar-EG"/>
        </w:rPr>
      </w:pPr>
      <w:r w:rsidRPr="0042568F">
        <w:rPr>
          <w:rFonts w:asciiTheme="minorBidi" w:eastAsia="Calibri" w:hAnsiTheme="minorBidi" w:cstheme="minorBidi"/>
          <w:color w:val="000000"/>
          <w:sz w:val="28"/>
          <w:szCs w:val="28"/>
          <w:u w:color="000000"/>
          <w:bdr w:val="nil"/>
          <w:rtl/>
          <w:lang w:eastAsia="en-US" w:bidi="ar-EG"/>
        </w:rPr>
        <w:t>حتى الآن، أنشأت جي إف إتش محفظة من الأصول في قطاع مباني المكاتب الطبية بالولايات المتحدة الأمريكية بقيمة مليار دولار أمريكي.</w:t>
      </w:r>
    </w:p>
    <w:sectPr w:rsidR="0044063F" w:rsidRPr="00BE0380" w:rsidSect="00BD4C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44EA" w14:textId="77777777" w:rsidR="002C7C85" w:rsidRDefault="002C7C85" w:rsidP="00620629">
      <w:r>
        <w:separator/>
      </w:r>
    </w:p>
  </w:endnote>
  <w:endnote w:type="continuationSeparator" w:id="0">
    <w:p w14:paraId="069356E4" w14:textId="77777777" w:rsidR="002C7C85" w:rsidRDefault="002C7C85" w:rsidP="0062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7E804" w14:textId="77777777" w:rsidR="002C7C85" w:rsidRDefault="002C7C85" w:rsidP="00620629">
      <w:r>
        <w:separator/>
      </w:r>
    </w:p>
  </w:footnote>
  <w:footnote w:type="continuationSeparator" w:id="0">
    <w:p w14:paraId="03FC2119" w14:textId="77777777" w:rsidR="002C7C85" w:rsidRDefault="002C7C85" w:rsidP="00620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1A39F" w14:textId="22FDF6C3" w:rsidR="00620629" w:rsidRDefault="00620629" w:rsidP="00620629">
    <w:pPr>
      <w:pStyle w:val="Header"/>
      <w:jc w:val="center"/>
    </w:pPr>
    <w:r>
      <w:rPr>
        <w:noProof/>
        <w:lang w:val="en-US" w:eastAsia="en-US"/>
      </w:rPr>
      <w:drawing>
        <wp:inline distT="0" distB="0" distL="0" distR="0" wp14:anchorId="03F056E8" wp14:editId="3642C15F">
          <wp:extent cx="1266825" cy="409575"/>
          <wp:effectExtent l="0" t="0" r="9525" b="9525"/>
          <wp:docPr id="3" name="officeArt object" descr="GFH Logo_New.jpg"/>
          <wp:cNvGraphicFramePr/>
          <a:graphic xmlns:a="http://schemas.openxmlformats.org/drawingml/2006/main">
            <a:graphicData uri="http://schemas.openxmlformats.org/drawingml/2006/picture">
              <pic:pic xmlns:pic="http://schemas.openxmlformats.org/drawingml/2006/picture">
                <pic:nvPicPr>
                  <pic:cNvPr id="1073741825" name="GFH Logo_New.jpg" descr="GFH Logo_New.jpg"/>
                  <pic:cNvPicPr>
                    <a:picLocks noChangeAspect="1"/>
                  </pic:cNvPicPr>
                </pic:nvPicPr>
                <pic:blipFill>
                  <a:blip r:embed="rId1"/>
                  <a:stretch>
                    <a:fillRect/>
                  </a:stretch>
                </pic:blipFill>
                <pic:spPr>
                  <a:xfrm>
                    <a:off x="0" y="0"/>
                    <a:ext cx="1266825" cy="4095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C5B08"/>
    <w:multiLevelType w:val="hybridMultilevel"/>
    <w:tmpl w:val="0E263CE0"/>
    <w:lvl w:ilvl="0" w:tplc="4D809E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EA"/>
    <w:rsid w:val="0005056C"/>
    <w:rsid w:val="000F7197"/>
    <w:rsid w:val="00286339"/>
    <w:rsid w:val="002C7C85"/>
    <w:rsid w:val="00407C7A"/>
    <w:rsid w:val="0042568F"/>
    <w:rsid w:val="0044063F"/>
    <w:rsid w:val="00443CEA"/>
    <w:rsid w:val="00522593"/>
    <w:rsid w:val="00620629"/>
    <w:rsid w:val="00715F5C"/>
    <w:rsid w:val="009D6391"/>
    <w:rsid w:val="00B04D58"/>
    <w:rsid w:val="00B63B5F"/>
    <w:rsid w:val="00BC655D"/>
    <w:rsid w:val="00BD4CB9"/>
    <w:rsid w:val="00BE0380"/>
    <w:rsid w:val="00F6564B"/>
    <w:rsid w:val="00FE5A56"/>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5EB8"/>
  <w15:chartTrackingRefBased/>
  <w15:docId w15:val="{29D41F11-91CF-4ED5-BC58-5082DB4F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EA"/>
    <w:pPr>
      <w:spacing w:after="0" w:line="240"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3CEA"/>
    <w:rPr>
      <w:color w:val="0563C1"/>
      <w:u w:val="single"/>
    </w:rPr>
  </w:style>
  <w:style w:type="paragraph" w:styleId="ListParagraph">
    <w:name w:val="List Paragraph"/>
    <w:basedOn w:val="Normal"/>
    <w:uiPriority w:val="34"/>
    <w:qFormat/>
    <w:rsid w:val="00443CEA"/>
    <w:pPr>
      <w:ind w:left="720"/>
      <w:contextualSpacing/>
    </w:pPr>
  </w:style>
  <w:style w:type="paragraph" w:styleId="Header">
    <w:name w:val="header"/>
    <w:basedOn w:val="Normal"/>
    <w:link w:val="HeaderChar"/>
    <w:uiPriority w:val="99"/>
    <w:unhideWhenUsed/>
    <w:rsid w:val="00620629"/>
    <w:pPr>
      <w:tabs>
        <w:tab w:val="center" w:pos="4513"/>
        <w:tab w:val="right" w:pos="9026"/>
      </w:tabs>
    </w:pPr>
  </w:style>
  <w:style w:type="character" w:customStyle="1" w:styleId="HeaderChar">
    <w:name w:val="Header Char"/>
    <w:basedOn w:val="DefaultParagraphFont"/>
    <w:link w:val="Header"/>
    <w:uiPriority w:val="99"/>
    <w:rsid w:val="00620629"/>
    <w:rPr>
      <w:rFonts w:ascii="Calibri" w:hAnsi="Calibri" w:cs="Calibri"/>
      <w:lang w:eastAsia="en-GB"/>
    </w:rPr>
  </w:style>
  <w:style w:type="paragraph" w:styleId="Footer">
    <w:name w:val="footer"/>
    <w:basedOn w:val="Normal"/>
    <w:link w:val="FooterChar"/>
    <w:uiPriority w:val="99"/>
    <w:unhideWhenUsed/>
    <w:rsid w:val="00620629"/>
    <w:pPr>
      <w:tabs>
        <w:tab w:val="center" w:pos="4513"/>
        <w:tab w:val="right" w:pos="9026"/>
      </w:tabs>
    </w:pPr>
  </w:style>
  <w:style w:type="character" w:customStyle="1" w:styleId="FooterChar">
    <w:name w:val="Footer Char"/>
    <w:basedOn w:val="DefaultParagraphFont"/>
    <w:link w:val="Footer"/>
    <w:uiPriority w:val="99"/>
    <w:rsid w:val="00620629"/>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Danesh</dc:creator>
  <cp:keywords/>
  <dc:description/>
  <cp:lastModifiedBy>Abdulla Engineer</cp:lastModifiedBy>
  <cp:revision>2</cp:revision>
  <dcterms:created xsi:type="dcterms:W3CDTF">2022-10-11T14:27:00Z</dcterms:created>
  <dcterms:modified xsi:type="dcterms:W3CDTF">2022-10-11T14:27:00Z</dcterms:modified>
</cp:coreProperties>
</file>